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15" w:rsidRPr="00E85864" w:rsidRDefault="002A4F15" w:rsidP="00697CC0">
      <w:pPr>
        <w:pStyle w:val="Ttulo1"/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ESTUDO</w:t>
      </w:r>
      <w:r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TÉCNICO</w:t>
      </w:r>
      <w:r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PRELIMINAR (ETP)</w:t>
      </w:r>
    </w:p>
    <w:p w:rsidR="002A4F15" w:rsidRPr="00E85864" w:rsidRDefault="002A4F15" w:rsidP="00697CC0">
      <w:pPr>
        <w:pStyle w:val="Corpodetexto"/>
        <w:spacing w:line="360" w:lineRule="auto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BD5CB4" w:rsidRPr="00BD5CB4" w:rsidRDefault="00BD5CB4" w:rsidP="00BD5CB4">
      <w:pPr>
        <w:spacing w:line="360" w:lineRule="auto"/>
        <w:ind w:left="-142" w:right="-143"/>
        <w:jc w:val="both"/>
        <w:rPr>
          <w:rFonts w:ascii="Times New Roman" w:eastAsia="Arial" w:hAnsi="Times New Roman"/>
        </w:rPr>
      </w:pPr>
      <w:r w:rsidRPr="00BD5CB4">
        <w:rPr>
          <w:rFonts w:ascii="Times New Roman" w:eastAsia="Arial" w:hAnsi="Times New Roman"/>
        </w:rPr>
        <w:t xml:space="preserve">Este estudo técnico representa a primeira etapa do planejamento para a locação de um imóvel destinado a sediar a Inspetoria de Defesa Agropecuária </w:t>
      </w:r>
      <w:r w:rsidR="006C71E6">
        <w:rPr>
          <w:rFonts w:ascii="Times New Roman" w:eastAsia="Arial" w:hAnsi="Times New Roman"/>
        </w:rPr>
        <w:t>(IDA), no município de XXX</w:t>
      </w:r>
      <w:r w:rsidRPr="00BD5CB4">
        <w:rPr>
          <w:rFonts w:ascii="Times New Roman" w:eastAsia="Arial" w:hAnsi="Times New Roman"/>
        </w:rPr>
        <w:t>. Tem como objet</w:t>
      </w:r>
      <w:r w:rsidRPr="00BD5CB4">
        <w:rPr>
          <w:rFonts w:ascii="Times New Roman" w:eastAsia="Arial" w:hAnsi="Times New Roman"/>
        </w:rPr>
        <w:t>i</w:t>
      </w:r>
      <w:r w:rsidRPr="00BD5CB4">
        <w:rPr>
          <w:rFonts w:ascii="Times New Roman" w:eastAsia="Arial" w:hAnsi="Times New Roman"/>
        </w:rPr>
        <w:t>vo detalhar a funcionalidade do imóvel, o dimensionamento dos ambientes e o quantitativo de servidores.</w:t>
      </w:r>
    </w:p>
    <w:p w:rsidR="00BD5CB4" w:rsidRDefault="00BD5CB4" w:rsidP="00BD5CB4">
      <w:pPr>
        <w:spacing w:line="360" w:lineRule="auto"/>
        <w:ind w:left="-142" w:right="-143"/>
        <w:jc w:val="both"/>
        <w:rPr>
          <w:rFonts w:ascii="Times New Roman" w:eastAsia="Arial" w:hAnsi="Times New Roman"/>
        </w:rPr>
      </w:pPr>
      <w:r w:rsidRPr="00BD5CB4">
        <w:rPr>
          <w:rFonts w:ascii="Times New Roman" w:eastAsia="Arial" w:hAnsi="Times New Roman"/>
        </w:rPr>
        <w:t>Seu propósito é demonstrar a melhor opção para atender às necessidades da Secretaria da Agricu</w:t>
      </w:r>
      <w:r w:rsidRPr="00BD5CB4">
        <w:rPr>
          <w:rFonts w:ascii="Times New Roman" w:eastAsia="Arial" w:hAnsi="Times New Roman"/>
        </w:rPr>
        <w:t>l</w:t>
      </w:r>
      <w:r w:rsidRPr="00BD5CB4">
        <w:rPr>
          <w:rFonts w:ascii="Times New Roman" w:eastAsia="Arial" w:hAnsi="Times New Roman"/>
        </w:rPr>
        <w:t>tura, Pecuária, Desenvolvimento Sustentável e Irrigação (SEAPI), por meio da análise do conjunto de características e condições necessárias ao desenvolvimento das atividades da Pasta.</w:t>
      </w:r>
    </w:p>
    <w:p w:rsidR="002A4F15" w:rsidRPr="00E85864" w:rsidRDefault="00227EFB" w:rsidP="00227E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proofErr w:type="gramStart"/>
      <w:r w:rsidRPr="00E85864">
        <w:rPr>
          <w:rFonts w:ascii="Times New Roman" w:eastAsia="Arial" w:hAnsi="Times New Roman" w:cs="Times New Roman"/>
          <w:b/>
          <w:sz w:val="22"/>
          <w:szCs w:val="22"/>
        </w:rPr>
        <w:t>RESPONSÁVEL(</w:t>
      </w:r>
      <w:proofErr w:type="gramEnd"/>
      <w:r w:rsidRPr="00E85864">
        <w:rPr>
          <w:rFonts w:ascii="Times New Roman" w:eastAsia="Arial" w:hAnsi="Times New Roman" w:cs="Times New Roman"/>
          <w:b/>
          <w:sz w:val="22"/>
          <w:szCs w:val="22"/>
        </w:rPr>
        <w:t>EIS) PELO PREENCHIMENTO DO ETP</w:t>
      </w:r>
    </w:p>
    <w:p w:rsidR="00227EFB" w:rsidRPr="00E85864" w:rsidRDefault="00227EFB" w:rsidP="00227E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Nome:</w:t>
      </w:r>
    </w:p>
    <w:p w:rsidR="00227EFB" w:rsidRPr="00E85864" w:rsidRDefault="00227EFB" w:rsidP="00227E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Telefone:</w:t>
      </w:r>
    </w:p>
    <w:p w:rsidR="00227EFB" w:rsidRPr="00E85864" w:rsidRDefault="00227EFB" w:rsidP="00227E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E-mail:</w:t>
      </w:r>
    </w:p>
    <w:p w:rsidR="00227EFB" w:rsidRPr="00E85864" w:rsidRDefault="00227EFB" w:rsidP="00B52B7F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5185A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I -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DESCRIÇÃO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DA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NECESSIDADE</w:t>
      </w:r>
    </w:p>
    <w:p w:rsidR="00263BB8" w:rsidRDefault="004063BA" w:rsidP="000E46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after="120"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4063BA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 demanda em análise refere-se à necessidade de encontrar um imóvel no município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4063BA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que possa abrigar, de forma adequada, as instalações da Inspetoria de Defesa Agropecuária.</w:t>
      </w:r>
    </w:p>
    <w:p w:rsidR="000D4B06" w:rsidRDefault="000D4B06" w:rsidP="000E46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after="120"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É de suma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importância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ressaltar o papel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fundamental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desempenhado pela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no contexto das demandas de defesa sanitária na região. Como uma peça fundamental do sist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ma de controle e prevenção de doen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ças, essa unidade desempenha uma função crucial 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na prot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ção da saúde públi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ca, pois a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lém de atender às necessidades locais, 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estende sua cobertura para </w:t>
      </w:r>
      <w:r w:rsidRPr="00CE7FC6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outros </w:t>
      </w:r>
      <w:r w:rsidR="006C71E6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XXX</w:t>
      </w:r>
      <w:r w:rsidRPr="00CE7FC6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 municípios (xxxx, xxxx, xxxx, xxxx), 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garantindo uma ampla cobe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tura em matéria de defesa sanitária e inspeção agropecuária. Portanto, seu papel vai além das fronte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ras munici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pais, desempenhando uma função essencial </w:t>
      </w:r>
      <w:r w:rsidRPr="000D4B0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na preservação da saúde e bem-estar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da região.</w:t>
      </w:r>
    </w:p>
    <w:p w:rsidR="00A67546" w:rsidRDefault="00A67546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3D24D4" w:rsidRPr="0014599E" w:rsidRDefault="003D24D4" w:rsidP="003D24D4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after="120"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14599E">
        <w:rPr>
          <w:rFonts w:ascii="Times New Roman" w:eastAsia="Arial" w:hAnsi="Times New Roman" w:cs="Times New Roman"/>
          <w:sz w:val="22"/>
          <w:szCs w:val="22"/>
        </w:rPr>
        <w:t>II - PLANO DE CONTRATAÇÕES ANUAL</w:t>
      </w:r>
    </w:p>
    <w:p w:rsidR="0014599E" w:rsidRPr="003D24D4" w:rsidRDefault="0014599E" w:rsidP="00D41D62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after="120"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  <w:highlight w:val="yellow"/>
        </w:rPr>
      </w:pPr>
      <w:r w:rsidRPr="0014599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 Plano anual de contratações da SEAPI prevê apenas itens de aquisição, seja de consumo ou de capital, sem incluir a previsão de contratação de serviços. A opção pela inclusão apenas das aquisições foi tomada visando garantir a disponibilidade de recursos essenciais para o cumpr</w:t>
      </w:r>
      <w:r w:rsidRPr="0014599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</w:t>
      </w:r>
      <w:r w:rsidRPr="0014599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mento das metas e objetivos da SEAPI.</w:t>
      </w:r>
    </w:p>
    <w:p w:rsidR="003D24D4" w:rsidRDefault="003D24D4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CD51A7" w:rsidRPr="00E85864" w:rsidRDefault="00CD51A7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3826B2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II</w:t>
      </w:r>
      <w:r w:rsidR="003D24D4">
        <w:rPr>
          <w:rFonts w:ascii="Times New Roman" w:eastAsia="Arial" w:hAnsi="Times New Roman" w:cs="Times New Roman"/>
          <w:sz w:val="22"/>
          <w:szCs w:val="22"/>
        </w:rPr>
        <w:t>I</w:t>
      </w:r>
      <w:r w:rsidR="002A4F15" w:rsidRPr="00E85864">
        <w:rPr>
          <w:rFonts w:ascii="Times New Roman" w:eastAsia="Arial" w:hAnsi="Times New Roman" w:cs="Times New Roman"/>
          <w:sz w:val="22"/>
          <w:szCs w:val="22"/>
        </w:rPr>
        <w:t xml:space="preserve"> –</w:t>
      </w:r>
      <w:r w:rsidR="002A4F15"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="002A4F15" w:rsidRPr="00E85864">
        <w:rPr>
          <w:rFonts w:ascii="Times New Roman" w:eastAsia="Arial" w:hAnsi="Times New Roman" w:cs="Times New Roman"/>
          <w:sz w:val="22"/>
          <w:szCs w:val="22"/>
        </w:rPr>
        <w:t>REQUISITOS</w:t>
      </w:r>
      <w:r w:rsidR="002A4F15"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="002A4F15" w:rsidRPr="00E85864">
        <w:rPr>
          <w:rFonts w:ascii="Times New Roman" w:eastAsia="Arial" w:hAnsi="Times New Roman" w:cs="Times New Roman"/>
          <w:sz w:val="22"/>
          <w:szCs w:val="22"/>
        </w:rPr>
        <w:t>DA</w:t>
      </w:r>
      <w:r w:rsidR="002A4F15"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="002A4F15" w:rsidRPr="00E85864">
        <w:rPr>
          <w:rFonts w:ascii="Times New Roman" w:eastAsia="Arial" w:hAnsi="Times New Roman" w:cs="Times New Roman"/>
          <w:sz w:val="22"/>
          <w:szCs w:val="22"/>
        </w:rPr>
        <w:t>CONTRATAÇÃO</w:t>
      </w:r>
    </w:p>
    <w:p w:rsidR="002A4F15" w:rsidRDefault="003826B2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after="120"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Para atender às necessidades especifica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</w:t>
      </w: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da SEAPI</w:t>
      </w: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 é imprescindível estabelecer requisitos m</w:t>
      </w: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í</w:t>
      </w: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nimos que devem ser atendidos, garantindo a eficácia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na escolha do imóvel</w:t>
      </w:r>
      <w:r w:rsidRPr="003826B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. A seleção desses requisitos visa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orientar de forma </w:t>
      </w:r>
      <w:r w:rsidR="00153B0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clara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 objetiva a escolha do imóvel</w:t>
      </w:r>
      <w:r w:rsidR="00153B0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 possibilitando identificar a opção que melhor atenda as necessidades da SEAPI.</w:t>
      </w:r>
    </w:p>
    <w:p w:rsidR="00463691" w:rsidRDefault="00653708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653708">
        <w:rPr>
          <w:rFonts w:ascii="Times New Roman" w:eastAsia="Arial" w:hAnsi="Times New Roman" w:cs="Times New Roman"/>
          <w:bCs w:val="0"/>
          <w:sz w:val="22"/>
          <w:szCs w:val="22"/>
        </w:rPr>
        <w:t>Localização:</w:t>
      </w:r>
      <w:r w:rsidRPr="006537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 imóvel deve estar localizado na região central do município, em uma área estr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tégica que permita fácil acesso dos produtores rurais e esteja próximo de outros serviços públ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cos ligados à agricultura. Essa localização facilitará 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 acesso do público à Inspetoria, assim c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mo os deslocamentos necessários 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as atividades de fiscalização e suporte téc</w:t>
      </w:r>
      <w:r w:rsidR="00CD51A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nico de d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efesa </w:t>
      </w:r>
      <w:r w:rsidR="00CD51A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gr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pecuária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C15620" w:rsidRDefault="00463691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604917">
        <w:rPr>
          <w:rFonts w:ascii="Times New Roman" w:eastAsia="Arial" w:hAnsi="Times New Roman" w:cs="Times New Roman"/>
          <w:bCs w:val="0"/>
          <w:sz w:val="22"/>
          <w:szCs w:val="22"/>
        </w:rPr>
        <w:t>Caracteristicas específicas do imóvel:</w:t>
      </w:r>
      <w:r>
        <w:rPr>
          <w:rFonts w:ascii="Times New Roman" w:eastAsia="Arial" w:hAnsi="Times New Roman" w:cs="Times New Roman"/>
          <w:bCs w:val="0"/>
          <w:sz w:val="22"/>
          <w:szCs w:val="22"/>
        </w:rPr>
        <w:t xml:space="preserve"> </w:t>
      </w:r>
    </w:p>
    <w:p w:rsidR="00C15620" w:rsidRDefault="00C15620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- Possuir 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uma área suficiente para acomodar as atividades administrativas e técnicas da 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SEAPI</w:t>
      </w:r>
      <w:r w:rsidR="00463691" w:rsidRP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</w:t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que totalizam XX trabalhadores</w:t>
      </w:r>
      <w:r w:rsidR="00A95CA1">
        <w:rPr>
          <w:rStyle w:val="Refdenotaderodap"/>
          <w:rFonts w:ascii="Times New Roman" w:eastAsia="Arial" w:hAnsi="Times New Roman" w:cs="Times New Roman"/>
          <w:b w:val="0"/>
          <w:bCs w:val="0"/>
          <w:sz w:val="22"/>
          <w:szCs w:val="22"/>
        </w:rPr>
        <w:footnoteReference w:id="2"/>
      </w:r>
      <w:r w:rsidR="0046369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(servidores</w:t>
      </w:r>
      <w:r w:rsidR="00CD51A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colaboradores terceirizados</w:t>
      </w:r>
      <w:r w:rsidR="00CD51A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e estagiários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);</w:t>
      </w:r>
    </w:p>
    <w:p w:rsidR="00463691" w:rsidRDefault="00C15620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- A</w:t>
      </w:r>
      <w:r w:rsidR="00463691" w:rsidRPr="006537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ten</w:t>
      </w:r>
      <w:r w:rsidR="00C4161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der os</w:t>
      </w:r>
      <w:r w:rsidR="00463691" w:rsidRPr="006537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padrões mínimos de habitabilidade e segurança,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incluindo </w:t>
      </w:r>
      <w:r w:rsidR="00463691" w:rsidRPr="006537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infraestrutura elétrica e hidráu</w:t>
      </w:r>
      <w:r w:rsidR="00C4161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lica adequada</w:t>
      </w:r>
      <w:r w:rsid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;</w:t>
      </w:r>
    </w:p>
    <w:p w:rsidR="00484F60" w:rsidRDefault="00484F60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- Possuir sistema de climatização (ar-condiconado);</w:t>
      </w:r>
    </w:p>
    <w:p w:rsidR="00484F60" w:rsidRDefault="00484F60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- Ser</w:t>
      </w:r>
      <w:r w:rsidRP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acessível para pessoas com deficiência e possuir alvará dos bombeiros, garantindo a seg</w:t>
      </w:r>
      <w:r w:rsidRP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</w:t>
      </w:r>
      <w:r w:rsidRP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rança e conf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ormidade com as normas vigentes;</w:t>
      </w:r>
    </w:p>
    <w:p w:rsidR="00484F60" w:rsidRDefault="00484F60" w:rsidP="00463691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42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- </w:t>
      </w:r>
      <w:r w:rsidR="00C4161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Possuir área</w:t>
      </w:r>
      <w:r w:rsidRP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externa </w:t>
      </w:r>
      <w:r w:rsidR="00C4161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para</w:t>
      </w:r>
      <w:r w:rsidRPr="00484F60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esta</w:t>
      </w:r>
      <w:r w:rsidR="00C4161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cionamento de veículos oficiais (no mínimo duas vagas).</w:t>
      </w:r>
    </w:p>
    <w:p w:rsidR="0050391E" w:rsidRPr="00E85864" w:rsidRDefault="0050391E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IV –</w:t>
      </w:r>
      <w:r w:rsidRPr="00E85864">
        <w:rPr>
          <w:rFonts w:ascii="Times New Roman" w:eastAsia="Arial" w:hAnsi="Times New Roman" w:cs="Times New Roman"/>
          <w:spacing w:val="-6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ESTIMATIVA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DAS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QUANTIDADES</w:t>
      </w:r>
    </w:p>
    <w:p w:rsidR="00DF3E08" w:rsidRDefault="00DF3E08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 quantidade estimada refere-se a um único imóvel, selecionado com base no histórico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de n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cessidades relatadas pelos 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departamentos finalísticos da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SEAPI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 o Departamento de Vigilância e Defesa Sanitária Animal e o Departamento de Defesa Vegetal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que justificam 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 quantitativo do imóvel pretendido, considerando a área necessária, infraestrutura requerida e localização estr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tégica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. 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Embora apenas um imóvel esteja sendo alugado, buscamos garantir a eficiência na esc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lha, considerando aspectos como custo-benefício, adequação às necessidades e integração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entre os departamentos da Pasta</w:t>
      </w:r>
      <w:r w:rsidRPr="00DF3E0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263BB8" w:rsidRPr="00E85864" w:rsidRDefault="00263BB8" w:rsidP="00697CC0">
      <w:pPr>
        <w:pStyle w:val="Ttulo1"/>
        <w:tabs>
          <w:tab w:val="left" w:pos="280"/>
        </w:tabs>
        <w:spacing w:line="360" w:lineRule="auto"/>
        <w:ind w:firstLine="0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280295">
        <w:rPr>
          <w:rFonts w:ascii="Times New Roman" w:eastAsia="Arial" w:hAnsi="Times New Roman" w:cs="Times New Roman"/>
          <w:sz w:val="22"/>
          <w:szCs w:val="22"/>
        </w:rPr>
        <w:t>V –</w:t>
      </w:r>
      <w:r w:rsidRPr="00280295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280295">
        <w:rPr>
          <w:rFonts w:ascii="Times New Roman" w:eastAsia="Arial" w:hAnsi="Times New Roman" w:cs="Times New Roman"/>
          <w:sz w:val="22"/>
          <w:szCs w:val="22"/>
        </w:rPr>
        <w:t>LEVANTAMENTO</w:t>
      </w:r>
      <w:r w:rsidRPr="00280295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280295">
        <w:rPr>
          <w:rFonts w:ascii="Times New Roman" w:eastAsia="Arial" w:hAnsi="Times New Roman" w:cs="Times New Roman"/>
          <w:sz w:val="22"/>
          <w:szCs w:val="22"/>
        </w:rPr>
        <w:t>DE</w:t>
      </w:r>
      <w:r w:rsidRPr="00280295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280295">
        <w:rPr>
          <w:rFonts w:ascii="Times New Roman" w:eastAsia="Arial" w:hAnsi="Times New Roman" w:cs="Times New Roman"/>
          <w:sz w:val="22"/>
          <w:szCs w:val="22"/>
        </w:rPr>
        <w:t>MERCADO</w:t>
      </w:r>
    </w:p>
    <w:p w:rsidR="005E5A27" w:rsidRDefault="005E5A27" w:rsidP="005E5A27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Dada a importância estratégica da IDA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para a região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foi necessário realizar </w:t>
      </w:r>
      <w:proofErr w:type="gramStart"/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diligê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cias</w:t>
      </w:r>
      <w:proofErr w:type="gramEnd"/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aprofundadas</w:t>
      </w:r>
      <w:proofErr w:type="gramEnd"/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para identificar possíveis opções de imóveis que pudessem abrigar suas oper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5E5A2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lastRenderedPageBreak/>
        <w:t>ções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. 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Uma busca minuciosa foi conduzida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pelo responsável pela Inspetoria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com apoio da S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pervisão Regional de Porto Alegre, 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abrangendo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todos os imóveis estaduais disponíveis no m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nicípio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inclusive com registro fotográfico dos imóveis localizados em área urbana, 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com o objetivo de encontrar uma solução adequada </w:t>
      </w:r>
      <w:r w:rsidR="00280295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às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necessidades da IDA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3406CF" w:rsidRDefault="003406CF" w:rsidP="005E5A27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3406C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Após essa análise, constatou-se a inexistência de imóveis estaduais disponíveis para abrigar a IDA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3406C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990BE7" w:rsidRDefault="003406CF" w:rsidP="005E5A27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Somado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às diligências realizadas junto aos imóveis estaduais, uma consulta foi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realizada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à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pr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feitura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 visando verificar a disponibilidade de imóveis municipais que pudessem ate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der às necessidades da SEAPI. Essa iniciativa teve como objetivo explorar todas as possibilid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des locais para encontrar um </w:t>
      </w:r>
      <w:r w:rsidR="00BA48C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imóvel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adequad</w:t>
      </w:r>
      <w:r w:rsidR="00BA48C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para a </w:t>
      </w:r>
      <w:r w:rsid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Inspetoria</w:t>
      </w:r>
      <w:r w:rsidR="00990BE7" w:rsidRPr="00990BE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BA48CE" w:rsidRDefault="00263BB8" w:rsidP="00263BB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Apesar dos esforços empreendidos, a resposta da prefeitura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revelou que, infelizmente, não há disponibilidade de imóveis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para instalação da I</w:t>
      </w:r>
      <w:r w:rsidR="00BA48C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nspetoria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="00BA48C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no município.</w:t>
      </w:r>
    </w:p>
    <w:p w:rsidR="00CD51A7" w:rsidRDefault="00263BB8" w:rsidP="00263BB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Esse cenário evidencia a 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dificuldade em encontrar </w:t>
      </w:r>
      <w:r w:rsidR="00BA48CE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um imóvel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no 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âmbito dos bens públicos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,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para abrigar as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instalações</w:t>
      </w:r>
      <w:r w:rsidRPr="00263BB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da IDA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9B5522" w:rsidRDefault="00817A3B" w:rsidP="00263BB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817A3B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Diante dessa realidade, </w:t>
      </w:r>
      <w:r w:rsidR="009B552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</w:t>
      </w:r>
      <w:r w:rsidR="009B5522" w:rsidRPr="009B552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onsiderando a falta de sucesso na identificação de imóveis públicos disponíveis para abrigar 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="009B5522" w:rsidRPr="009B552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a opção mais adequada para resolver o problema enfrentado pela SEAPI foi buscar imóveis privados. </w:t>
      </w:r>
      <w:r w:rsidR="001E637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M</w:t>
      </w:r>
      <w:r w:rsidR="009B5522" w:rsidRPr="009B552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edida</w:t>
      </w:r>
      <w:r w:rsidR="001E637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que</w:t>
      </w:r>
      <w:r w:rsidR="009B5522" w:rsidRPr="009B5522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visa garantir a continuidade das operações da SEAPI e proporcionar um ambiente adequado e funcional para as atividades da Inspetoria de Defesa Agropecuária.</w:t>
      </w:r>
    </w:p>
    <w:p w:rsidR="002A4F15" w:rsidRPr="00E85864" w:rsidRDefault="002A4F15" w:rsidP="00905557">
      <w:pPr>
        <w:pStyle w:val="Corpodetexto"/>
        <w:spacing w:line="360" w:lineRule="auto"/>
        <w:ind w:right="113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VI –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ESTIMATIVA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DO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PREÇO</w:t>
      </w:r>
      <w:r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DA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CONTRATAÇÃO</w:t>
      </w:r>
    </w:p>
    <w:p w:rsidR="009B5522" w:rsidRDefault="00C453F3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Considerando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as dificuldades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em localizar imóveis públicos disponíveis para abrigar a Inspet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optou-se por buscar imóveis privados para atender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demanda da SEAPI.</w:t>
      </w:r>
    </w:p>
    <w:p w:rsidR="00551515" w:rsidRDefault="00C453F3" w:rsidP="00C453F3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No entanto, mesmo a busca por imóveis privados apresentou desafios significativos, uma vez que a maioria dos imóveis disponíveis não atendia aos requisitos mínimos estabelecidos pela SEAPI.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Apesar das dificuldades encontradas, foi possível identificar apenas um imóvel no m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nicípio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que atendia adequadamente às necessidades desta Pasta.</w:t>
      </w:r>
    </w:p>
    <w:p w:rsidR="00C453F3" w:rsidRDefault="001E6378" w:rsidP="00C453F3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1E637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Nesse contexto, foi fundamental realizar uma avaliação do valor de locação do imóvel enco</w:t>
      </w:r>
      <w:r w:rsidRPr="001E637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Pr="001E6378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trado.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Para isso, a SEAPI solicitou um Laudo Técnico de Avaliação de Valor de Locação, em conformidade com as diretrizes estabelecidas pela NBR 14653 - Avaliação de Bens - Imóveis Urbanos. Esse laudo foi elaborado por um Engenheiro Civil qualificado e registrado no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respe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tivo 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conselho de classe (CREA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), com o objetivo de estimar 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 valor locativo do imóvel em que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tão. Essa análise detalhada do mercado imobiliário foi fundamental para embasar a decis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ão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da SEAPI e garantir a melhor escolha na busca por um imóvel adequado para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abrigar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a Inspetoria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 Defesa Agropecuária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="00C453F3" w:rsidRPr="00C453F3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1E6378" w:rsidRPr="00E85864" w:rsidRDefault="001E6378" w:rsidP="001E6378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lastRenderedPageBreak/>
        <w:t>VII -</w:t>
      </w:r>
      <w:r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DESCRIÇÃO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DA</w:t>
      </w:r>
      <w:r w:rsidRPr="00E85864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SOLUÇÃO</w:t>
      </w:r>
      <w:r w:rsidRPr="00E85864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COMO</w:t>
      </w:r>
      <w:r w:rsidRPr="00E85864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UM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TODO</w:t>
      </w:r>
    </w:p>
    <w:p w:rsidR="00EC6036" w:rsidRDefault="00EC6036" w:rsidP="00A45FF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EC603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Após uma análise detalhada das opções disponíveis, a solução mais vantajosa identificada foi </w:t>
      </w:r>
      <w:proofErr w:type="gramStart"/>
      <w:r w:rsidRPr="00EC603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proofErr w:type="gramEnd"/>
      <w:r w:rsidRPr="00EC603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locação de um imóvel privado localizado no centro da cidade. Esse imóvel atende plenamente às exigências da SEAPI em termos de espaço, infraestrutura e localização estratégica.</w:t>
      </w:r>
    </w:p>
    <w:p w:rsidR="00A45FFC" w:rsidRDefault="00A45FFC" w:rsidP="00A45FF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O imóvel possui uma </w:t>
      </w:r>
      <w:r w:rsidR="006C71E6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área total de XXX</w:t>
      </w:r>
      <w:r w:rsidRPr="00A45F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m</w:t>
      </w:r>
      <w:r w:rsidRPr="00A45F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², </w:t>
      </w:r>
      <w:r w:rsidR="00B742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(descrever o imóvel, por exemplo - </w:t>
      </w:r>
      <w:r w:rsidRPr="00A45F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distri</w:t>
      </w:r>
      <w:r w:rsidR="00B742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buídos em salas administrativas, mais sala </w:t>
      </w:r>
      <w:proofErr w:type="gramStart"/>
      <w:r w:rsidR="00B742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de ...</w:t>
      </w:r>
      <w:proofErr w:type="gramEnd"/>
      <w:r w:rsidR="002207FB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>)</w:t>
      </w:r>
      <w:r w:rsidRPr="00A45FFC">
        <w:rPr>
          <w:rFonts w:ascii="Times New Roman" w:eastAsia="Arial" w:hAnsi="Times New Roman" w:cs="Times New Roman"/>
          <w:b w:val="0"/>
          <w:bCs w:val="0"/>
          <w:color w:val="FF0000"/>
          <w:sz w:val="22"/>
          <w:szCs w:val="22"/>
        </w:rPr>
        <w:t xml:space="preserve">. 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Sua localização central facilita o acesso dos produtores rurais e demais usuários dos serviços prestados pela SEAPI, garantindo também a proximidade com outros órgãos públicos e serviços essenciais.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Além disso, o imóvel apresenta condições adequ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das de conservação e manutenção, com todas as instalações elétricas, hidráulicas e de segurança em pleno funcionamento.</w:t>
      </w:r>
    </w:p>
    <w:p w:rsidR="00A45FFC" w:rsidRDefault="00A45FFC" w:rsidP="00A45FF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Com base nessas características, a locação deste imóvel se mostra como a solução mais adequ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da para atender às necessidades da SEAPI e garantir o funcionamento eficiente da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A45FF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1E6378" w:rsidRPr="00E85864" w:rsidRDefault="001E6378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VIII –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JUSTIFICATIVA</w:t>
      </w:r>
      <w:r w:rsidRPr="00E85864">
        <w:rPr>
          <w:rFonts w:ascii="Times New Roman" w:eastAsia="Arial" w:hAnsi="Times New Roman" w:cs="Times New Roman"/>
          <w:spacing w:val="-6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PARA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PARCELAMENTO</w:t>
      </w:r>
    </w:p>
    <w:p w:rsidR="00692164" w:rsidRPr="00E85864" w:rsidRDefault="00692164" w:rsidP="00E6616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692164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>Diante da escolha da locação de um imóvel privado como a opção mais vantajosa, é essencial levar em conta as particularidades dessa forma de contratação.</w:t>
      </w:r>
      <w:r w:rsid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 xml:space="preserve"> Neste contexto</w:t>
      </w:r>
      <w:r w:rsidR="00E66160" w:rsidRP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 xml:space="preserve">, </w:t>
      </w:r>
      <w:r w:rsid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>entende</w:t>
      </w:r>
      <w:r w:rsidR="00E66160" w:rsidRP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 xml:space="preserve">-se </w:t>
      </w:r>
      <w:r w:rsid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>pela</w:t>
      </w:r>
      <w:r w:rsidR="00E66160" w:rsidRP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 xml:space="preserve"> inviabilidade do parcelamento </w:t>
      </w:r>
      <w:r w:rsidR="00E66160">
        <w:rPr>
          <w:rFonts w:ascii="Times New Roman" w:eastAsia="Arial" w:hAnsi="Times New Roman" w:cs="Times New Roman"/>
          <w:b w:val="0"/>
          <w:bCs w:val="0"/>
          <w:spacing w:val="1"/>
          <w:sz w:val="22"/>
          <w:szCs w:val="22"/>
        </w:rPr>
        <w:t>da solução encontrada.</w:t>
      </w:r>
    </w:p>
    <w:p w:rsidR="00172969" w:rsidRPr="00E85864" w:rsidRDefault="00172969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IX -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DEMONSTRATIVO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DOS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RESULTADOS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PRETENDIDOS</w:t>
      </w:r>
    </w:p>
    <w:p w:rsidR="00262589" w:rsidRDefault="00966897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Com a decisão pela locação de um imóvel, esperamos alcançar diversos resultados positivos em termos de economicidade e aproveitamento de recursos. A redução significativa nos gastos com manutenção é um dos principais benefícios dessa escolha. Como locatários, seremos respons</w:t>
      </w: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á</w:t>
      </w: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veis principalmente pela conservação das condições de habitabilidade e higiene, enquanto que</w:t>
      </w: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</w:t>
      </w: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tões estruturais serão de responsabilidade do proprietário. Essa distribuição de responsabilidades tem o potencial de gerar economia para a SEAPI, garantindo uma gestão mais eficiente dos recursos disponíveis.</w:t>
      </w:r>
    </w:p>
    <w:p w:rsidR="00966897" w:rsidRDefault="00966897" w:rsidP="00697CC0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Além disso, como bem evidenciado nos requisitos essenciais que resultaram na escolha deste imóvel, a localização estratégica do imóvel contribuirá significativamente para as operações da SEAPI. A proximidade a importantes vias de acesso, serviços públicos e áreas de interesse para a Pasta garantirá uma maior eficiência nas atividades desenvolvidas pela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966897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 Essa localização estratégica facilitará o deslocamento dos funcionários e o acesso dos cidadãos aos serviços oferecidos pela SEAPI, promovendo, assim, uma melhor prestação de serviços e um aproveitamento mais eficaz dos recursos disponíveis.</w:t>
      </w:r>
    </w:p>
    <w:p w:rsidR="00E83F29" w:rsidRPr="00E85864" w:rsidRDefault="00E83F29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lastRenderedPageBreak/>
        <w:t>X –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PROVIDÊNCIAS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PRÉVIAS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AO</w:t>
      </w:r>
      <w:r w:rsidRPr="00E85864">
        <w:rPr>
          <w:rFonts w:ascii="Times New Roman" w:eastAsia="Arial" w:hAnsi="Times New Roman" w:cs="Times New Roman"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CONTRATO</w:t>
      </w:r>
    </w:p>
    <w:p w:rsidR="00F8167C" w:rsidRPr="00E85864" w:rsidRDefault="00F8167C" w:rsidP="00F8167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Antes da efetivação do contrato de locação, é imperativo que 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SEAPI</w:t>
      </w:r>
      <w:r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realize uma minuciosa verificação de todas as condições indispensáveis para a formalização do contrato, incluindo a análise e verificação da documentação exigida. Essa etapa é crucial para assegurar que todas as exigências legais e administrativas estejam devidamente atendidas, garantindo assim a regular</w:t>
      </w:r>
      <w:r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</w:t>
      </w:r>
      <w:r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dade e segurança do processo de contratação.</w:t>
      </w:r>
      <w:r w:rsidRPr="00E85864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082EDE" w:rsidRPr="00E85864" w:rsidRDefault="00082EDE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XI –</w:t>
      </w:r>
      <w:r w:rsidRPr="00E85864">
        <w:rPr>
          <w:rFonts w:ascii="Times New Roman" w:eastAsia="Arial" w:hAnsi="Times New Roman" w:cs="Times New Roman"/>
          <w:spacing w:val="-6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CONTRATAÇÕES</w:t>
      </w:r>
      <w:r w:rsidRPr="00E85864">
        <w:rPr>
          <w:rFonts w:ascii="Times New Roman" w:eastAsia="Arial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E85864">
        <w:rPr>
          <w:rFonts w:ascii="Times New Roman" w:eastAsia="Arial" w:hAnsi="Times New Roman" w:cs="Times New Roman"/>
          <w:sz w:val="22"/>
          <w:szCs w:val="22"/>
        </w:rPr>
        <w:t>CORRELATAS/INTERDEPENDENTES</w:t>
      </w:r>
      <w:proofErr w:type="gramEnd"/>
    </w:p>
    <w:p w:rsidR="00F8167C" w:rsidRDefault="006C71E6" w:rsidP="00082ED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Previamente a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concretização do contrato de locação, é </w:t>
      </w:r>
      <w:proofErr w:type="gramStart"/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necessário</w:t>
      </w:r>
      <w:proofErr w:type="gramEnd"/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que a SEAPI realize uma an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á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lise de vi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bilidade para a instalação dos serviços de internet, utilizando a rede da PROCERGS. Essa aval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ação é fundamental para garantir a infraestrutura de comunicação necessária para o pleno funcionamento das atividades da Pasta</w:t>
      </w:r>
      <w:r w:rsid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  <w:r w:rsidR="00F8167C" w:rsidRPr="00F8167C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A análise de viabilidade incluirá a verificação da cobertura e disponibilidade da rede da PROCERGS na região</w:t>
      </w:r>
      <w:r w:rsid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  <w:r w:rsidR="000A264D" w:rsidRPr="000A264D">
        <w:t xml:space="preserve"> </w:t>
      </w:r>
      <w:r w:rsidR="000A264D" w:rsidRP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Essa etapa é essencial para gara</w:t>
      </w:r>
      <w:r w:rsidR="000A264D" w:rsidRP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="000A264D" w:rsidRP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tir a eficiê</w:t>
      </w:r>
      <w:r w:rsidR="000A264D" w:rsidRP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="000A264D" w:rsidRP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cia e eficácia das operações da SEAPI após a ocupação do novo imóvel.</w:t>
      </w:r>
      <w:r w:rsidR="000A264D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</w:t>
      </w:r>
    </w:p>
    <w:p w:rsidR="00E83F29" w:rsidRPr="00E85864" w:rsidRDefault="00E83F29" w:rsidP="00697CC0">
      <w:pPr>
        <w:pStyle w:val="Corpodetexto"/>
        <w:spacing w:line="360" w:lineRule="auto"/>
        <w:ind w:left="102" w:right="115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2A4F15" w:rsidRDefault="002A4F15" w:rsidP="00697CC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ind w:right="101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E85864">
        <w:rPr>
          <w:rFonts w:ascii="Times New Roman" w:eastAsia="Arial" w:hAnsi="Times New Roman" w:cs="Times New Roman"/>
          <w:b/>
          <w:bCs/>
          <w:sz w:val="22"/>
          <w:szCs w:val="22"/>
        </w:rPr>
        <w:t>XII –</w:t>
      </w:r>
      <w:r w:rsidRPr="00E85864">
        <w:rPr>
          <w:rFonts w:ascii="Times New Roman" w:eastAsia="Arial" w:hAnsi="Times New Roman" w:cs="Times New Roman"/>
          <w:b/>
          <w:bCs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b/>
          <w:bCs/>
          <w:sz w:val="22"/>
          <w:szCs w:val="22"/>
        </w:rPr>
        <w:t>IMPACTOS</w:t>
      </w:r>
      <w:r w:rsidRPr="00E85864">
        <w:rPr>
          <w:rFonts w:ascii="Times New Roman" w:eastAsia="Arial" w:hAnsi="Times New Roman" w:cs="Times New Roman"/>
          <w:b/>
          <w:bCs/>
          <w:spacing w:val="-4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b/>
          <w:bCs/>
          <w:sz w:val="22"/>
          <w:szCs w:val="22"/>
        </w:rPr>
        <w:t>AMBIENTAIS</w:t>
      </w:r>
    </w:p>
    <w:p w:rsidR="00AD2FCB" w:rsidRPr="00AD2FCB" w:rsidRDefault="00AD2FCB" w:rsidP="00AD2FC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ind w:right="101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D2FCB">
        <w:rPr>
          <w:rFonts w:ascii="Times New Roman" w:eastAsia="Arial" w:hAnsi="Times New Roman" w:cs="Times New Roman"/>
          <w:bCs/>
          <w:sz w:val="22"/>
          <w:szCs w:val="22"/>
        </w:rPr>
        <w:t xml:space="preserve">As atividades conduzidas no imóvel alugado não resultarão em poluição ou danos ambientais. </w:t>
      </w:r>
      <w:r>
        <w:rPr>
          <w:rFonts w:ascii="Times New Roman" w:eastAsia="Arial" w:hAnsi="Times New Roman" w:cs="Times New Roman"/>
          <w:bCs/>
          <w:sz w:val="22"/>
          <w:szCs w:val="22"/>
        </w:rPr>
        <w:t>O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 xml:space="preserve"> compromisso 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da SEAPI 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>é promover o uso conscie</w:t>
      </w:r>
      <w:r>
        <w:rPr>
          <w:rFonts w:ascii="Times New Roman" w:eastAsia="Arial" w:hAnsi="Times New Roman" w:cs="Times New Roman"/>
          <w:bCs/>
          <w:sz w:val="22"/>
          <w:szCs w:val="22"/>
        </w:rPr>
        <w:t>nte de recursos e equipamentos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 xml:space="preserve">, evitando desperdícios e minimizando a geração de resíduos. Essas práticas refletem </w:t>
      </w:r>
      <w:r>
        <w:rPr>
          <w:rFonts w:ascii="Times New Roman" w:eastAsia="Arial" w:hAnsi="Times New Roman" w:cs="Times New Roman"/>
          <w:bCs/>
          <w:sz w:val="22"/>
          <w:szCs w:val="22"/>
        </w:rPr>
        <w:t>a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 xml:space="preserve"> responsabilidade ambiental </w:t>
      </w:r>
      <w:r w:rsidR="00DF4FFB">
        <w:rPr>
          <w:rFonts w:ascii="Times New Roman" w:eastAsia="Arial" w:hAnsi="Times New Roman" w:cs="Times New Roman"/>
          <w:bCs/>
          <w:sz w:val="22"/>
          <w:szCs w:val="22"/>
        </w:rPr>
        <w:t>da SEAPI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 xml:space="preserve"> para </w:t>
      </w:r>
      <w:r w:rsidR="00DF4FFB">
        <w:rPr>
          <w:rFonts w:ascii="Times New Roman" w:eastAsia="Arial" w:hAnsi="Times New Roman" w:cs="Times New Roman"/>
          <w:bCs/>
          <w:sz w:val="22"/>
          <w:szCs w:val="22"/>
        </w:rPr>
        <w:t xml:space="preserve">contribuir com </w:t>
      </w:r>
      <w:r w:rsidRPr="00AD2FCB">
        <w:rPr>
          <w:rFonts w:ascii="Times New Roman" w:eastAsia="Arial" w:hAnsi="Times New Roman" w:cs="Times New Roman"/>
          <w:bCs/>
          <w:sz w:val="22"/>
          <w:szCs w:val="22"/>
        </w:rPr>
        <w:t>a preservação do meio ambiente.</w:t>
      </w:r>
    </w:p>
    <w:p w:rsidR="00AD2FCB" w:rsidRPr="00E85864" w:rsidRDefault="00AD2FCB" w:rsidP="00697CC0">
      <w:pPr>
        <w:pStyle w:val="Corpodetexto"/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</w:p>
    <w:p w:rsidR="002A4F15" w:rsidRPr="00E85864" w:rsidRDefault="002A4F15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E85864">
        <w:rPr>
          <w:rFonts w:ascii="Times New Roman" w:eastAsia="Arial" w:hAnsi="Times New Roman" w:cs="Times New Roman"/>
          <w:sz w:val="22"/>
          <w:szCs w:val="22"/>
        </w:rPr>
        <w:t>XIII –</w:t>
      </w:r>
      <w:r w:rsidRPr="00E85864">
        <w:rPr>
          <w:rFonts w:ascii="Times New Roman" w:eastAsia="Arial" w:hAnsi="Times New Roman" w:cs="Times New Roman"/>
          <w:spacing w:val="-5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VIABILIDADE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DA</w:t>
      </w:r>
      <w:r w:rsidRPr="00E85864">
        <w:rPr>
          <w:rFonts w:ascii="Times New Roman" w:eastAsia="Arial" w:hAnsi="Times New Roman" w:cs="Times New Roman"/>
          <w:spacing w:val="-3"/>
          <w:sz w:val="22"/>
          <w:szCs w:val="22"/>
        </w:rPr>
        <w:t xml:space="preserve"> </w:t>
      </w:r>
      <w:r w:rsidRPr="00E85864">
        <w:rPr>
          <w:rFonts w:ascii="Times New Roman" w:eastAsia="Arial" w:hAnsi="Times New Roman" w:cs="Times New Roman"/>
          <w:sz w:val="22"/>
          <w:szCs w:val="22"/>
        </w:rPr>
        <w:t>CONTRATAÇÃO</w:t>
      </w:r>
    </w:p>
    <w:p w:rsidR="002A4F15" w:rsidRDefault="00EC6E11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Após a conclusão desse estudo técnico,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avaliamos</w:t>
      </w:r>
      <w:bookmarkStart w:id="0" w:name="_GoBack"/>
      <w:bookmarkEnd w:id="0"/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que a locação do imóvel se mostra viável para atender às necessidades da SEAPI. Tanto do ponto de vista técnico quanto operacional, a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esc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lha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dessa solução apresenta-se como a melhor alternativa para garantir um espaço adequado e fu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cional para sediar a Inspetoria de Defesa Agropecuária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EC6E11" w:rsidRDefault="00EC6E11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Do ponto de vista técnico, o imóvel selecionado atende a todos os requisitos estabelecidos, pr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porcionando ambientes adequados para as atividades desempenhadas pela equipe da SEAPI. Além disso, a localização estratégica do imóvel facilita o acesso dos usuários e a realização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das atividades de fiscalização 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 suporte técnico.</w:t>
      </w:r>
    </w:p>
    <w:p w:rsidR="00EC6E11" w:rsidRDefault="00EC6E11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Operacionalmente, a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s condições do imóvel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permite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m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uma rápida </w:t>
      </w:r>
      <w:proofErr w:type="gramStart"/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implementação</w:t>
      </w:r>
      <w:proofErr w:type="gramEnd"/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das atividades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desenvolvidas pela SEAPI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, sem a necessidade de investimentos em infraestrutura. Isso garante que a Inspetoria de </w:t>
      </w:r>
      <w:r w:rsidR="006C71E6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XXX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possa iniciar suas 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atividades no imóvel logo após a publicação do co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n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trato de locação do Diário Oficial do Estado.</w:t>
      </w:r>
    </w:p>
    <w:p w:rsidR="009B70FF" w:rsidRDefault="00EC6E11" w:rsidP="00697C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rPr>
          <w:rFonts w:ascii="Times New Roman" w:eastAsia="Arial" w:hAnsi="Times New Roman" w:cs="Times New Roman"/>
          <w:b w:val="0"/>
          <w:bCs w:val="0"/>
          <w:sz w:val="22"/>
          <w:szCs w:val="22"/>
        </w:rPr>
      </w:pP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No que diz respeito à viabilidade orçamentária, a locação do imóvel se mostra economicamente 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lastRenderedPageBreak/>
        <w:t xml:space="preserve">vantajosa, </w:t>
      </w:r>
      <w:r w:rsidR="009B70FF"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uma vez que o valor do aluguel está em conformidade com os padrões do mercado imobiliário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 da região</w:t>
      </w:r>
      <w:r w:rsidRPr="00EC6E11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. </w:t>
      </w:r>
      <w:r w:rsidR="009B70FF"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Além disso, os custos associados à manutenção do imóvel são reduzidos, uma vez que a responsabilidade por questões estruturais </w:t>
      </w:r>
      <w:r w:rsid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ficará a cargo do l</w:t>
      </w:r>
      <w:r w:rsidR="009B70FF"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ocador</w:t>
      </w:r>
      <w:r w:rsid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.</w:t>
      </w:r>
    </w:p>
    <w:p w:rsidR="002A4F15" w:rsidRPr="00E85864" w:rsidRDefault="009B70FF" w:rsidP="009B70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360" w:lineRule="auto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Portanto, a locação do imóvel não apenas atende às necessidades da SEAPI em termos de infr</w:t>
      </w:r>
      <w:r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a</w:t>
      </w:r>
      <w:r w:rsidRPr="009B70FF"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estrutura, mas também se mostra como uma esco</w:t>
      </w:r>
      <w:r>
        <w:rPr>
          <w:rFonts w:ascii="Times New Roman" w:eastAsia="Arial" w:hAnsi="Times New Roman" w:cs="Times New Roman"/>
          <w:b w:val="0"/>
          <w:bCs w:val="0"/>
          <w:sz w:val="22"/>
          <w:szCs w:val="22"/>
        </w:rPr>
        <w:t>lha financeiramente responsável.</w:t>
      </w:r>
    </w:p>
    <w:sectPr w:rsidR="002A4F15" w:rsidRPr="00E85864" w:rsidSect="00B52B7F">
      <w:headerReference w:type="default" r:id="rId12"/>
      <w:footerReference w:type="default" r:id="rId13"/>
      <w:pgSz w:w="11906" w:h="16838"/>
      <w:pgMar w:top="2410" w:right="1700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57" w:rsidRDefault="00E24257" w:rsidP="00785503">
      <w:pPr>
        <w:spacing w:after="0" w:line="240" w:lineRule="auto"/>
      </w:pPr>
      <w:r>
        <w:separator/>
      </w:r>
    </w:p>
  </w:endnote>
  <w:endnote w:type="continuationSeparator" w:id="0">
    <w:p w:rsidR="00E24257" w:rsidRDefault="00E24257" w:rsidP="00785503">
      <w:pPr>
        <w:spacing w:after="0" w:line="240" w:lineRule="auto"/>
      </w:pPr>
      <w:r>
        <w:continuationSeparator/>
      </w:r>
    </w:p>
  </w:endnote>
  <w:endnote w:type="continuationNotice" w:id="1">
    <w:p w:rsidR="00E24257" w:rsidRDefault="00E24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47" w:rsidRDefault="002616E2" w:rsidP="002616E2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2616E2">
      <w:rPr>
        <w:rFonts w:ascii="Times New Roman" w:hAnsi="Times New Roman"/>
        <w:bCs/>
        <w:sz w:val="18"/>
        <w:szCs w:val="18"/>
      </w:rPr>
      <w:t>_______________________________________________________________</w:t>
    </w:r>
    <w:r w:rsidR="00E32947">
      <w:rPr>
        <w:rFonts w:ascii="Times New Roman" w:hAnsi="Times New Roman"/>
        <w:bCs/>
        <w:sz w:val="18"/>
        <w:szCs w:val="18"/>
      </w:rPr>
      <w:t>_____________________________</w:t>
    </w:r>
  </w:p>
  <w:p w:rsidR="002616E2" w:rsidRPr="002616E2" w:rsidRDefault="002616E2" w:rsidP="002616E2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2616E2">
      <w:rPr>
        <w:rFonts w:ascii="Times New Roman" w:hAnsi="Times New Roman"/>
        <w:bCs/>
        <w:sz w:val="18"/>
        <w:szCs w:val="18"/>
      </w:rPr>
      <w:t>Secretaria da Agricultura, Pecuária, Produção Sustentável e Irrigação - SEAPI/RS.</w:t>
    </w:r>
  </w:p>
  <w:p w:rsidR="002616E2" w:rsidRPr="002616E2" w:rsidRDefault="002616E2" w:rsidP="002616E2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2616E2">
      <w:rPr>
        <w:rFonts w:ascii="Times New Roman" w:hAnsi="Times New Roman"/>
        <w:bCs/>
        <w:sz w:val="18"/>
        <w:szCs w:val="18"/>
      </w:rPr>
      <w:t>Av. Getúlio Vargas, nº 1384, Menino Deus, Porto Alegre/RS – CEP: 90150-004 - Tel.: (51) 3288-</w:t>
    </w:r>
    <w:r w:rsidR="00E32947">
      <w:rPr>
        <w:rFonts w:ascii="Times New Roman" w:hAnsi="Times New Roman"/>
        <w:bCs/>
        <w:sz w:val="18"/>
        <w:szCs w:val="18"/>
      </w:rPr>
      <w:t>6200.</w:t>
    </w:r>
  </w:p>
  <w:p w:rsidR="00705369" w:rsidRDefault="007053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57" w:rsidRDefault="00E24257" w:rsidP="00785503">
      <w:pPr>
        <w:spacing w:after="0" w:line="240" w:lineRule="auto"/>
      </w:pPr>
      <w:r>
        <w:separator/>
      </w:r>
    </w:p>
  </w:footnote>
  <w:footnote w:type="continuationSeparator" w:id="0">
    <w:p w:rsidR="00E24257" w:rsidRDefault="00E24257" w:rsidP="00785503">
      <w:pPr>
        <w:spacing w:after="0" w:line="240" w:lineRule="auto"/>
      </w:pPr>
      <w:r>
        <w:continuationSeparator/>
      </w:r>
    </w:p>
  </w:footnote>
  <w:footnote w:type="continuationNotice" w:id="1">
    <w:p w:rsidR="00E24257" w:rsidRDefault="00E24257">
      <w:pPr>
        <w:spacing w:after="0" w:line="240" w:lineRule="auto"/>
      </w:pPr>
    </w:p>
  </w:footnote>
  <w:footnote w:id="2">
    <w:p w:rsidR="00A95CA1" w:rsidRPr="00C15620" w:rsidRDefault="00A95CA1" w:rsidP="00C15620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A95CA1">
        <w:rPr>
          <w:rStyle w:val="Refdenotaderodap"/>
          <w:rFonts w:ascii="Times New Roman" w:hAnsi="Times New Roman"/>
          <w:sz w:val="18"/>
          <w:szCs w:val="18"/>
        </w:rPr>
        <w:footnoteRef/>
      </w:r>
      <w:r w:rsidRPr="00A95CA1">
        <w:rPr>
          <w:rFonts w:ascii="Times New Roman" w:hAnsi="Times New Roman"/>
          <w:sz w:val="18"/>
          <w:szCs w:val="18"/>
        </w:rPr>
        <w:t xml:space="preserve"> Áreas de escritório não superiores a 9,00m² (nove metros quadrados) por posto de trabalho para servidor, </w:t>
      </w:r>
      <w:r w:rsidRPr="00C15620">
        <w:rPr>
          <w:rFonts w:ascii="Times New Roman" w:hAnsi="Times New Roman"/>
          <w:sz w:val="18"/>
          <w:szCs w:val="18"/>
        </w:rPr>
        <w:t>colabor</w:t>
      </w:r>
      <w:r w:rsidRPr="00C15620">
        <w:rPr>
          <w:rFonts w:ascii="Times New Roman" w:hAnsi="Times New Roman"/>
          <w:sz w:val="18"/>
          <w:szCs w:val="18"/>
        </w:rPr>
        <w:t>a</w:t>
      </w:r>
      <w:r w:rsidRPr="00C15620">
        <w:rPr>
          <w:rFonts w:ascii="Times New Roman" w:hAnsi="Times New Roman"/>
          <w:sz w:val="18"/>
          <w:szCs w:val="18"/>
        </w:rPr>
        <w:t>dor, terceirizado de escritório ou estagiário em dia normal d</w:t>
      </w:r>
      <w:r w:rsidR="00C15620" w:rsidRPr="00C15620">
        <w:rPr>
          <w:rFonts w:ascii="Times New Roman" w:hAnsi="Times New Roman"/>
          <w:sz w:val="18"/>
          <w:szCs w:val="18"/>
        </w:rPr>
        <w:t xml:space="preserve">e atividade, conforme disposto na </w:t>
      </w:r>
      <w:r w:rsidRPr="00C15620">
        <w:rPr>
          <w:rFonts w:ascii="Times New Roman" w:hAnsi="Times New Roman"/>
          <w:sz w:val="18"/>
          <w:szCs w:val="18"/>
        </w:rPr>
        <w:t>INSTRUÇÃO NO</w:t>
      </w:r>
      <w:r w:rsidRPr="00C15620">
        <w:rPr>
          <w:rFonts w:ascii="Times New Roman" w:hAnsi="Times New Roman"/>
          <w:sz w:val="18"/>
          <w:szCs w:val="18"/>
        </w:rPr>
        <w:t>R</w:t>
      </w:r>
      <w:r w:rsidRPr="00C15620">
        <w:rPr>
          <w:rFonts w:ascii="Times New Roman" w:hAnsi="Times New Roman"/>
          <w:sz w:val="18"/>
          <w:szCs w:val="18"/>
        </w:rPr>
        <w:t>MATIVA SEGES/ME Nº 103, DE 30 DE DEZEMBRO DE 2022</w:t>
      </w:r>
      <w:r w:rsidR="00C15620" w:rsidRPr="00C15620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03" w:rsidRPr="00E85864" w:rsidRDefault="006C71E6" w:rsidP="00E8586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20911" cy="1353312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horizont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266" cy="135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2612"/>
    <w:multiLevelType w:val="hybridMultilevel"/>
    <w:tmpl w:val="FFFFFFFF"/>
    <w:lvl w:ilvl="0" w:tplc="30801250">
      <w:start w:val="1"/>
      <w:numFmt w:val="lowerLetter"/>
      <w:lvlText w:val="%1)"/>
      <w:lvlJc w:val="left"/>
      <w:pPr>
        <w:ind w:left="720" w:hanging="360"/>
      </w:pPr>
    </w:lvl>
    <w:lvl w:ilvl="1" w:tplc="0B589962">
      <w:start w:val="1"/>
      <w:numFmt w:val="lowerLetter"/>
      <w:lvlText w:val="%2."/>
      <w:lvlJc w:val="left"/>
      <w:pPr>
        <w:ind w:left="1440" w:hanging="360"/>
      </w:pPr>
    </w:lvl>
    <w:lvl w:ilvl="2" w:tplc="EFC2659A">
      <w:start w:val="1"/>
      <w:numFmt w:val="lowerRoman"/>
      <w:lvlText w:val="%3."/>
      <w:lvlJc w:val="right"/>
      <w:pPr>
        <w:ind w:left="2160" w:hanging="180"/>
      </w:pPr>
    </w:lvl>
    <w:lvl w:ilvl="3" w:tplc="59C66AEE">
      <w:start w:val="1"/>
      <w:numFmt w:val="decimal"/>
      <w:lvlText w:val="%4."/>
      <w:lvlJc w:val="left"/>
      <w:pPr>
        <w:ind w:left="2880" w:hanging="360"/>
      </w:pPr>
    </w:lvl>
    <w:lvl w:ilvl="4" w:tplc="C29E9A1C">
      <w:start w:val="1"/>
      <w:numFmt w:val="lowerLetter"/>
      <w:lvlText w:val="%5."/>
      <w:lvlJc w:val="left"/>
      <w:pPr>
        <w:ind w:left="3600" w:hanging="360"/>
      </w:pPr>
    </w:lvl>
    <w:lvl w:ilvl="5" w:tplc="C4AC6FB2">
      <w:start w:val="1"/>
      <w:numFmt w:val="lowerRoman"/>
      <w:lvlText w:val="%6."/>
      <w:lvlJc w:val="right"/>
      <w:pPr>
        <w:ind w:left="4320" w:hanging="180"/>
      </w:pPr>
    </w:lvl>
    <w:lvl w:ilvl="6" w:tplc="77F6A758">
      <w:start w:val="1"/>
      <w:numFmt w:val="decimal"/>
      <w:lvlText w:val="%7."/>
      <w:lvlJc w:val="left"/>
      <w:pPr>
        <w:ind w:left="5040" w:hanging="360"/>
      </w:pPr>
    </w:lvl>
    <w:lvl w:ilvl="7" w:tplc="5E2EA6E0">
      <w:start w:val="1"/>
      <w:numFmt w:val="lowerLetter"/>
      <w:lvlText w:val="%8."/>
      <w:lvlJc w:val="left"/>
      <w:pPr>
        <w:ind w:left="5760" w:hanging="360"/>
      </w:pPr>
    </w:lvl>
    <w:lvl w:ilvl="8" w:tplc="74D6C7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6D"/>
    <w:rsid w:val="00025C40"/>
    <w:rsid w:val="00036567"/>
    <w:rsid w:val="00047862"/>
    <w:rsid w:val="000664A8"/>
    <w:rsid w:val="00082B50"/>
    <w:rsid w:val="00082EDE"/>
    <w:rsid w:val="000A264D"/>
    <w:rsid w:val="000B14B3"/>
    <w:rsid w:val="000B6A47"/>
    <w:rsid w:val="000D4B06"/>
    <w:rsid w:val="000E46C0"/>
    <w:rsid w:val="001038A6"/>
    <w:rsid w:val="00111E52"/>
    <w:rsid w:val="00120AF9"/>
    <w:rsid w:val="00122218"/>
    <w:rsid w:val="0014599E"/>
    <w:rsid w:val="00153B0E"/>
    <w:rsid w:val="00166996"/>
    <w:rsid w:val="00170C84"/>
    <w:rsid w:val="00172969"/>
    <w:rsid w:val="001777AA"/>
    <w:rsid w:val="00181E42"/>
    <w:rsid w:val="001904F1"/>
    <w:rsid w:val="00194D87"/>
    <w:rsid w:val="001DF2EF"/>
    <w:rsid w:val="001E6378"/>
    <w:rsid w:val="001F4E2C"/>
    <w:rsid w:val="00213290"/>
    <w:rsid w:val="002207FB"/>
    <w:rsid w:val="00222F51"/>
    <w:rsid w:val="00227EFB"/>
    <w:rsid w:val="00234E36"/>
    <w:rsid w:val="00235603"/>
    <w:rsid w:val="00236C87"/>
    <w:rsid w:val="00244E04"/>
    <w:rsid w:val="00245F9E"/>
    <w:rsid w:val="0025185A"/>
    <w:rsid w:val="002616E2"/>
    <w:rsid w:val="00262589"/>
    <w:rsid w:val="00263BB8"/>
    <w:rsid w:val="00271471"/>
    <w:rsid w:val="00271BB0"/>
    <w:rsid w:val="00280295"/>
    <w:rsid w:val="002906DF"/>
    <w:rsid w:val="00290D76"/>
    <w:rsid w:val="002A4F15"/>
    <w:rsid w:val="002C0A97"/>
    <w:rsid w:val="002D0118"/>
    <w:rsid w:val="002D45B6"/>
    <w:rsid w:val="002D7C29"/>
    <w:rsid w:val="00317EA8"/>
    <w:rsid w:val="003238B5"/>
    <w:rsid w:val="003406CF"/>
    <w:rsid w:val="003411CA"/>
    <w:rsid w:val="00352EDB"/>
    <w:rsid w:val="00363EE8"/>
    <w:rsid w:val="003800A2"/>
    <w:rsid w:val="0038103F"/>
    <w:rsid w:val="003826B2"/>
    <w:rsid w:val="00387811"/>
    <w:rsid w:val="003A239F"/>
    <w:rsid w:val="003A61B6"/>
    <w:rsid w:val="003B0218"/>
    <w:rsid w:val="003B6804"/>
    <w:rsid w:val="003D0A0D"/>
    <w:rsid w:val="003D24D4"/>
    <w:rsid w:val="003F00B1"/>
    <w:rsid w:val="004063BA"/>
    <w:rsid w:val="00417896"/>
    <w:rsid w:val="00431246"/>
    <w:rsid w:val="00452CB2"/>
    <w:rsid w:val="004535E4"/>
    <w:rsid w:val="004548AF"/>
    <w:rsid w:val="0046076C"/>
    <w:rsid w:val="00463691"/>
    <w:rsid w:val="00470957"/>
    <w:rsid w:val="004739E7"/>
    <w:rsid w:val="00475686"/>
    <w:rsid w:val="0048451B"/>
    <w:rsid w:val="00484F60"/>
    <w:rsid w:val="00487BD0"/>
    <w:rsid w:val="004958D7"/>
    <w:rsid w:val="004B331C"/>
    <w:rsid w:val="004C68E1"/>
    <w:rsid w:val="004D1925"/>
    <w:rsid w:val="004E5550"/>
    <w:rsid w:val="004F2D56"/>
    <w:rsid w:val="004F4D5D"/>
    <w:rsid w:val="004F644E"/>
    <w:rsid w:val="0050391E"/>
    <w:rsid w:val="00515CB0"/>
    <w:rsid w:val="00522810"/>
    <w:rsid w:val="00522E2C"/>
    <w:rsid w:val="0052359C"/>
    <w:rsid w:val="00526240"/>
    <w:rsid w:val="005265BE"/>
    <w:rsid w:val="005422A4"/>
    <w:rsid w:val="00546736"/>
    <w:rsid w:val="00551515"/>
    <w:rsid w:val="005612D3"/>
    <w:rsid w:val="0056466F"/>
    <w:rsid w:val="005A6CCA"/>
    <w:rsid w:val="005D7A16"/>
    <w:rsid w:val="005E5A27"/>
    <w:rsid w:val="005E7720"/>
    <w:rsid w:val="006036DD"/>
    <w:rsid w:val="00604917"/>
    <w:rsid w:val="00630AA5"/>
    <w:rsid w:val="00635642"/>
    <w:rsid w:val="00637ACE"/>
    <w:rsid w:val="006456CA"/>
    <w:rsid w:val="0065193C"/>
    <w:rsid w:val="00653708"/>
    <w:rsid w:val="00675FE1"/>
    <w:rsid w:val="00692164"/>
    <w:rsid w:val="00694496"/>
    <w:rsid w:val="00695A61"/>
    <w:rsid w:val="006979BC"/>
    <w:rsid w:val="00697CC0"/>
    <w:rsid w:val="006C71E6"/>
    <w:rsid w:val="006D239E"/>
    <w:rsid w:val="006E0EAA"/>
    <w:rsid w:val="00702DD6"/>
    <w:rsid w:val="0070329B"/>
    <w:rsid w:val="00705369"/>
    <w:rsid w:val="007121CD"/>
    <w:rsid w:val="00715FF6"/>
    <w:rsid w:val="007227D4"/>
    <w:rsid w:val="00726F9D"/>
    <w:rsid w:val="007326F9"/>
    <w:rsid w:val="00732713"/>
    <w:rsid w:val="00745CA1"/>
    <w:rsid w:val="0075189F"/>
    <w:rsid w:val="00764838"/>
    <w:rsid w:val="007668CB"/>
    <w:rsid w:val="00785503"/>
    <w:rsid w:val="0079441B"/>
    <w:rsid w:val="007B617A"/>
    <w:rsid w:val="007E5AD1"/>
    <w:rsid w:val="007F01B6"/>
    <w:rsid w:val="007F1E3D"/>
    <w:rsid w:val="00807FF9"/>
    <w:rsid w:val="00817A3B"/>
    <w:rsid w:val="0082202B"/>
    <w:rsid w:val="008334CC"/>
    <w:rsid w:val="008348AD"/>
    <w:rsid w:val="00835A98"/>
    <w:rsid w:val="00853C1F"/>
    <w:rsid w:val="00862758"/>
    <w:rsid w:val="008641EB"/>
    <w:rsid w:val="00876B7B"/>
    <w:rsid w:val="00876C49"/>
    <w:rsid w:val="008954AD"/>
    <w:rsid w:val="008A0552"/>
    <w:rsid w:val="008A341D"/>
    <w:rsid w:val="008B2854"/>
    <w:rsid w:val="008D1222"/>
    <w:rsid w:val="008D25E7"/>
    <w:rsid w:val="008E2DFD"/>
    <w:rsid w:val="008E7F25"/>
    <w:rsid w:val="0090433E"/>
    <w:rsid w:val="00905557"/>
    <w:rsid w:val="00920C32"/>
    <w:rsid w:val="00923EBC"/>
    <w:rsid w:val="00955266"/>
    <w:rsid w:val="00966897"/>
    <w:rsid w:val="009745E0"/>
    <w:rsid w:val="009832D8"/>
    <w:rsid w:val="009860F5"/>
    <w:rsid w:val="00990BE7"/>
    <w:rsid w:val="009A4FCC"/>
    <w:rsid w:val="009A625C"/>
    <w:rsid w:val="009B5522"/>
    <w:rsid w:val="009B70FF"/>
    <w:rsid w:val="009C0B56"/>
    <w:rsid w:val="009C4719"/>
    <w:rsid w:val="009C6079"/>
    <w:rsid w:val="00A12836"/>
    <w:rsid w:val="00A13337"/>
    <w:rsid w:val="00A22453"/>
    <w:rsid w:val="00A330E6"/>
    <w:rsid w:val="00A34AED"/>
    <w:rsid w:val="00A45FFC"/>
    <w:rsid w:val="00A67546"/>
    <w:rsid w:val="00A8293D"/>
    <w:rsid w:val="00A82D0E"/>
    <w:rsid w:val="00A83159"/>
    <w:rsid w:val="00A95CA1"/>
    <w:rsid w:val="00AA2819"/>
    <w:rsid w:val="00AB04ED"/>
    <w:rsid w:val="00AD2FCB"/>
    <w:rsid w:val="00AD4E6D"/>
    <w:rsid w:val="00AE132C"/>
    <w:rsid w:val="00AE1805"/>
    <w:rsid w:val="00AF4B15"/>
    <w:rsid w:val="00AF64BD"/>
    <w:rsid w:val="00B4431E"/>
    <w:rsid w:val="00B52438"/>
    <w:rsid w:val="00B52B7F"/>
    <w:rsid w:val="00B5342B"/>
    <w:rsid w:val="00B549F4"/>
    <w:rsid w:val="00B70DF4"/>
    <w:rsid w:val="00B742FC"/>
    <w:rsid w:val="00B8496C"/>
    <w:rsid w:val="00B86D28"/>
    <w:rsid w:val="00B87DE1"/>
    <w:rsid w:val="00BA48CE"/>
    <w:rsid w:val="00BB2849"/>
    <w:rsid w:val="00BB307D"/>
    <w:rsid w:val="00BC02CA"/>
    <w:rsid w:val="00BC17F9"/>
    <w:rsid w:val="00BD0876"/>
    <w:rsid w:val="00BD5CB4"/>
    <w:rsid w:val="00BE0966"/>
    <w:rsid w:val="00BE358F"/>
    <w:rsid w:val="00C11931"/>
    <w:rsid w:val="00C15620"/>
    <w:rsid w:val="00C32B45"/>
    <w:rsid w:val="00C36DD3"/>
    <w:rsid w:val="00C41615"/>
    <w:rsid w:val="00C453F3"/>
    <w:rsid w:val="00C502CF"/>
    <w:rsid w:val="00C5064D"/>
    <w:rsid w:val="00C53A05"/>
    <w:rsid w:val="00C63E04"/>
    <w:rsid w:val="00C6411B"/>
    <w:rsid w:val="00C71DCE"/>
    <w:rsid w:val="00C80101"/>
    <w:rsid w:val="00C8396D"/>
    <w:rsid w:val="00C93ED1"/>
    <w:rsid w:val="00CA11A6"/>
    <w:rsid w:val="00CC496A"/>
    <w:rsid w:val="00CD2716"/>
    <w:rsid w:val="00CD51A7"/>
    <w:rsid w:val="00CE7FC6"/>
    <w:rsid w:val="00CF3945"/>
    <w:rsid w:val="00D077EC"/>
    <w:rsid w:val="00D1405C"/>
    <w:rsid w:val="00D15EE7"/>
    <w:rsid w:val="00D23A48"/>
    <w:rsid w:val="00D24195"/>
    <w:rsid w:val="00D375FA"/>
    <w:rsid w:val="00D41D62"/>
    <w:rsid w:val="00D52157"/>
    <w:rsid w:val="00D70BD9"/>
    <w:rsid w:val="00D903B7"/>
    <w:rsid w:val="00D93BA4"/>
    <w:rsid w:val="00DC11D1"/>
    <w:rsid w:val="00DC11F4"/>
    <w:rsid w:val="00DC42D5"/>
    <w:rsid w:val="00DC5692"/>
    <w:rsid w:val="00DC5C5E"/>
    <w:rsid w:val="00DD127E"/>
    <w:rsid w:val="00DF16C9"/>
    <w:rsid w:val="00DF3E08"/>
    <w:rsid w:val="00DF4FFB"/>
    <w:rsid w:val="00DF7380"/>
    <w:rsid w:val="00E1269A"/>
    <w:rsid w:val="00E24257"/>
    <w:rsid w:val="00E247C3"/>
    <w:rsid w:val="00E305BB"/>
    <w:rsid w:val="00E32947"/>
    <w:rsid w:val="00E34713"/>
    <w:rsid w:val="00E42CB6"/>
    <w:rsid w:val="00E6289A"/>
    <w:rsid w:val="00E64E63"/>
    <w:rsid w:val="00E66160"/>
    <w:rsid w:val="00E663AC"/>
    <w:rsid w:val="00E83F29"/>
    <w:rsid w:val="00E85864"/>
    <w:rsid w:val="00E922A2"/>
    <w:rsid w:val="00E9603C"/>
    <w:rsid w:val="00EA493F"/>
    <w:rsid w:val="00EA5D5D"/>
    <w:rsid w:val="00EB7EC0"/>
    <w:rsid w:val="00EC2024"/>
    <w:rsid w:val="00EC6036"/>
    <w:rsid w:val="00EC6E11"/>
    <w:rsid w:val="00ED3870"/>
    <w:rsid w:val="00ED4263"/>
    <w:rsid w:val="00EE5026"/>
    <w:rsid w:val="00EF54ED"/>
    <w:rsid w:val="00EF5B29"/>
    <w:rsid w:val="00F162B8"/>
    <w:rsid w:val="00F2620E"/>
    <w:rsid w:val="00F27E9B"/>
    <w:rsid w:val="00F40A0F"/>
    <w:rsid w:val="00F6190D"/>
    <w:rsid w:val="00F63B0A"/>
    <w:rsid w:val="00F66067"/>
    <w:rsid w:val="00F76EBA"/>
    <w:rsid w:val="00F8167C"/>
    <w:rsid w:val="00F969EE"/>
    <w:rsid w:val="00FB44EF"/>
    <w:rsid w:val="00FC1C83"/>
    <w:rsid w:val="00FC2ACF"/>
    <w:rsid w:val="00FC3FF1"/>
    <w:rsid w:val="00FD687C"/>
    <w:rsid w:val="00FE54EC"/>
    <w:rsid w:val="00FF1B45"/>
    <w:rsid w:val="00FF6531"/>
    <w:rsid w:val="012AC721"/>
    <w:rsid w:val="01367F21"/>
    <w:rsid w:val="01BC351E"/>
    <w:rsid w:val="01E3A3A5"/>
    <w:rsid w:val="026BAE64"/>
    <w:rsid w:val="02D8F549"/>
    <w:rsid w:val="03139D57"/>
    <w:rsid w:val="03537318"/>
    <w:rsid w:val="063B62CC"/>
    <w:rsid w:val="06D23024"/>
    <w:rsid w:val="07097015"/>
    <w:rsid w:val="0780E048"/>
    <w:rsid w:val="07A018D2"/>
    <w:rsid w:val="0822CB82"/>
    <w:rsid w:val="089BC433"/>
    <w:rsid w:val="08D99925"/>
    <w:rsid w:val="08F1B6F8"/>
    <w:rsid w:val="0A0F1585"/>
    <w:rsid w:val="0A1E6C37"/>
    <w:rsid w:val="0B764C47"/>
    <w:rsid w:val="0C335863"/>
    <w:rsid w:val="0C3E847B"/>
    <w:rsid w:val="0C85CCEE"/>
    <w:rsid w:val="0D3E828A"/>
    <w:rsid w:val="0DCF35B9"/>
    <w:rsid w:val="0DF021CC"/>
    <w:rsid w:val="0E191AAE"/>
    <w:rsid w:val="0E2C81E4"/>
    <w:rsid w:val="0E41E266"/>
    <w:rsid w:val="0E62FBC4"/>
    <w:rsid w:val="0F8BF22D"/>
    <w:rsid w:val="0FA4C3E8"/>
    <w:rsid w:val="0FAF4665"/>
    <w:rsid w:val="0FFECC25"/>
    <w:rsid w:val="1023FFE4"/>
    <w:rsid w:val="104AA647"/>
    <w:rsid w:val="108B39BE"/>
    <w:rsid w:val="110E03B4"/>
    <w:rsid w:val="1163E747"/>
    <w:rsid w:val="1180AFFC"/>
    <w:rsid w:val="11819720"/>
    <w:rsid w:val="11AF54C3"/>
    <w:rsid w:val="12DAE332"/>
    <w:rsid w:val="1321D703"/>
    <w:rsid w:val="13437B0A"/>
    <w:rsid w:val="13533EBA"/>
    <w:rsid w:val="13859142"/>
    <w:rsid w:val="139362DC"/>
    <w:rsid w:val="13A60925"/>
    <w:rsid w:val="1407ECA4"/>
    <w:rsid w:val="148BD734"/>
    <w:rsid w:val="14BB4B34"/>
    <w:rsid w:val="153955B7"/>
    <w:rsid w:val="15874F12"/>
    <w:rsid w:val="15EDFAA4"/>
    <w:rsid w:val="1609EB31"/>
    <w:rsid w:val="16FFC07B"/>
    <w:rsid w:val="171FF672"/>
    <w:rsid w:val="1835079D"/>
    <w:rsid w:val="1898BFA0"/>
    <w:rsid w:val="18B46272"/>
    <w:rsid w:val="18B9D8FE"/>
    <w:rsid w:val="1A4DB85E"/>
    <w:rsid w:val="1A7DE187"/>
    <w:rsid w:val="1AB764B1"/>
    <w:rsid w:val="1AD6925A"/>
    <w:rsid w:val="1BB15FC1"/>
    <w:rsid w:val="1CB222AB"/>
    <w:rsid w:val="1D5F82F8"/>
    <w:rsid w:val="1DBEF1B2"/>
    <w:rsid w:val="1E2090E3"/>
    <w:rsid w:val="1E46CB59"/>
    <w:rsid w:val="1E5FF3B6"/>
    <w:rsid w:val="1E657D3D"/>
    <w:rsid w:val="1EE67CA1"/>
    <w:rsid w:val="1F20F6B0"/>
    <w:rsid w:val="2051B6DC"/>
    <w:rsid w:val="205FE529"/>
    <w:rsid w:val="207F129C"/>
    <w:rsid w:val="20A3D185"/>
    <w:rsid w:val="2100561D"/>
    <w:rsid w:val="21116B96"/>
    <w:rsid w:val="213CCA20"/>
    <w:rsid w:val="219A65B4"/>
    <w:rsid w:val="2219CBBE"/>
    <w:rsid w:val="2220EF2A"/>
    <w:rsid w:val="22F0913A"/>
    <w:rsid w:val="2336D825"/>
    <w:rsid w:val="236A4B9A"/>
    <w:rsid w:val="23AA6DC2"/>
    <w:rsid w:val="245A3B1F"/>
    <w:rsid w:val="25463E23"/>
    <w:rsid w:val="2651DD3E"/>
    <w:rsid w:val="266CDC8D"/>
    <w:rsid w:val="27392AB7"/>
    <w:rsid w:val="2791FA9A"/>
    <w:rsid w:val="27BF6648"/>
    <w:rsid w:val="27D3B100"/>
    <w:rsid w:val="27EDAD9F"/>
    <w:rsid w:val="28BC6E5F"/>
    <w:rsid w:val="28CC419F"/>
    <w:rsid w:val="29A2B0F5"/>
    <w:rsid w:val="2A55728D"/>
    <w:rsid w:val="2A725DD4"/>
    <w:rsid w:val="2AD333B8"/>
    <w:rsid w:val="2AF0A5DA"/>
    <w:rsid w:val="2B3BCE5A"/>
    <w:rsid w:val="2BC68D83"/>
    <w:rsid w:val="2C2228BA"/>
    <w:rsid w:val="2CBBEB00"/>
    <w:rsid w:val="2CF303B8"/>
    <w:rsid w:val="2CF6ACA0"/>
    <w:rsid w:val="2CFE65D4"/>
    <w:rsid w:val="2D3039E4"/>
    <w:rsid w:val="2D40515E"/>
    <w:rsid w:val="2D63211B"/>
    <w:rsid w:val="2ECC0A45"/>
    <w:rsid w:val="2FF8BF84"/>
    <w:rsid w:val="31FF5B64"/>
    <w:rsid w:val="3204CD9E"/>
    <w:rsid w:val="32467248"/>
    <w:rsid w:val="32DE459D"/>
    <w:rsid w:val="3334C572"/>
    <w:rsid w:val="33863CB7"/>
    <w:rsid w:val="3453968C"/>
    <w:rsid w:val="345F2762"/>
    <w:rsid w:val="3466E9F0"/>
    <w:rsid w:val="34F725CF"/>
    <w:rsid w:val="36A70E42"/>
    <w:rsid w:val="36CE0B47"/>
    <w:rsid w:val="3709CC29"/>
    <w:rsid w:val="370A0361"/>
    <w:rsid w:val="380D14BE"/>
    <w:rsid w:val="388C9E56"/>
    <w:rsid w:val="38A5D3C2"/>
    <w:rsid w:val="39EB7DC1"/>
    <w:rsid w:val="3A922041"/>
    <w:rsid w:val="3B0A6DA6"/>
    <w:rsid w:val="3B270A04"/>
    <w:rsid w:val="3B4630ED"/>
    <w:rsid w:val="3BC80B8D"/>
    <w:rsid w:val="3C5ED036"/>
    <w:rsid w:val="3CE5F2C5"/>
    <w:rsid w:val="3CFF1249"/>
    <w:rsid w:val="3D65B8FD"/>
    <w:rsid w:val="3DF135B3"/>
    <w:rsid w:val="3E22554D"/>
    <w:rsid w:val="3ECC29A4"/>
    <w:rsid w:val="3F151546"/>
    <w:rsid w:val="4016D0D4"/>
    <w:rsid w:val="401CE72A"/>
    <w:rsid w:val="403003C9"/>
    <w:rsid w:val="40611A4F"/>
    <w:rsid w:val="4086BB7B"/>
    <w:rsid w:val="409D59BF"/>
    <w:rsid w:val="41177261"/>
    <w:rsid w:val="430CB08A"/>
    <w:rsid w:val="431C85F5"/>
    <w:rsid w:val="43F9750B"/>
    <w:rsid w:val="44AEC63E"/>
    <w:rsid w:val="455A7FB0"/>
    <w:rsid w:val="4633F7AF"/>
    <w:rsid w:val="47194CC1"/>
    <w:rsid w:val="47E92CDB"/>
    <w:rsid w:val="480366BF"/>
    <w:rsid w:val="4853DB51"/>
    <w:rsid w:val="497CD348"/>
    <w:rsid w:val="49AB4D70"/>
    <w:rsid w:val="49BDB31A"/>
    <w:rsid w:val="4A2F7FD2"/>
    <w:rsid w:val="4A8E1F8F"/>
    <w:rsid w:val="4B001ACC"/>
    <w:rsid w:val="4B0768D2"/>
    <w:rsid w:val="4B59837B"/>
    <w:rsid w:val="4C70D63B"/>
    <w:rsid w:val="4C92D850"/>
    <w:rsid w:val="4CA33933"/>
    <w:rsid w:val="4CED6B6E"/>
    <w:rsid w:val="4DAE56E2"/>
    <w:rsid w:val="4E371C0E"/>
    <w:rsid w:val="4E8D67A5"/>
    <w:rsid w:val="4F7C8DE6"/>
    <w:rsid w:val="4F885A7C"/>
    <w:rsid w:val="4FD97E42"/>
    <w:rsid w:val="51B401CE"/>
    <w:rsid w:val="51C8C4FF"/>
    <w:rsid w:val="52A35F95"/>
    <w:rsid w:val="5316BA76"/>
    <w:rsid w:val="550065C1"/>
    <w:rsid w:val="551C56E2"/>
    <w:rsid w:val="5562F838"/>
    <w:rsid w:val="56640D24"/>
    <w:rsid w:val="56FF66E9"/>
    <w:rsid w:val="57C2EA66"/>
    <w:rsid w:val="58CF99A5"/>
    <w:rsid w:val="59157255"/>
    <w:rsid w:val="59D3A413"/>
    <w:rsid w:val="59EF8221"/>
    <w:rsid w:val="5A1072E3"/>
    <w:rsid w:val="5A2BC8E4"/>
    <w:rsid w:val="5AF1FDE5"/>
    <w:rsid w:val="5AFF33B8"/>
    <w:rsid w:val="5BB30380"/>
    <w:rsid w:val="5C3F87A4"/>
    <w:rsid w:val="5C589339"/>
    <w:rsid w:val="5C75EDC6"/>
    <w:rsid w:val="5CEC4434"/>
    <w:rsid w:val="5E3C0501"/>
    <w:rsid w:val="601F0A6E"/>
    <w:rsid w:val="6066F48D"/>
    <w:rsid w:val="612CC951"/>
    <w:rsid w:val="613CF8AF"/>
    <w:rsid w:val="6173A5C3"/>
    <w:rsid w:val="618CCE20"/>
    <w:rsid w:val="626A6DB9"/>
    <w:rsid w:val="63078B80"/>
    <w:rsid w:val="630AB126"/>
    <w:rsid w:val="633C580F"/>
    <w:rsid w:val="6404DC50"/>
    <w:rsid w:val="6442EE16"/>
    <w:rsid w:val="647EC98A"/>
    <w:rsid w:val="64D82183"/>
    <w:rsid w:val="658B8CA1"/>
    <w:rsid w:val="667A8C96"/>
    <w:rsid w:val="66D2943E"/>
    <w:rsid w:val="6721B17C"/>
    <w:rsid w:val="67834605"/>
    <w:rsid w:val="67A5B11B"/>
    <w:rsid w:val="68128942"/>
    <w:rsid w:val="68BD81DD"/>
    <w:rsid w:val="6A958AE1"/>
    <w:rsid w:val="6B91A6E4"/>
    <w:rsid w:val="6B97BA2F"/>
    <w:rsid w:val="6BD72463"/>
    <w:rsid w:val="6C1BD435"/>
    <w:rsid w:val="6C319029"/>
    <w:rsid w:val="6C3A8F7D"/>
    <w:rsid w:val="6C473D48"/>
    <w:rsid w:val="6C565281"/>
    <w:rsid w:val="6C5CF0D8"/>
    <w:rsid w:val="6D835B38"/>
    <w:rsid w:val="6D90F300"/>
    <w:rsid w:val="6DAA1B5D"/>
    <w:rsid w:val="6E5980A2"/>
    <w:rsid w:val="6E9E8047"/>
    <w:rsid w:val="6F5E32E1"/>
    <w:rsid w:val="6F7982AD"/>
    <w:rsid w:val="6F86CB90"/>
    <w:rsid w:val="6FB67761"/>
    <w:rsid w:val="700D91B7"/>
    <w:rsid w:val="703F9DDC"/>
    <w:rsid w:val="707E1F91"/>
    <w:rsid w:val="70A4317D"/>
    <w:rsid w:val="711AAE6B"/>
    <w:rsid w:val="718FBE5F"/>
    <w:rsid w:val="71A96218"/>
    <w:rsid w:val="71B59D87"/>
    <w:rsid w:val="71BDFB94"/>
    <w:rsid w:val="7295D3A3"/>
    <w:rsid w:val="73B9BB9F"/>
    <w:rsid w:val="73E22B14"/>
    <w:rsid w:val="73F29D45"/>
    <w:rsid w:val="74DA92AC"/>
    <w:rsid w:val="7536100E"/>
    <w:rsid w:val="754FA0CB"/>
    <w:rsid w:val="759C04E5"/>
    <w:rsid w:val="7676630D"/>
    <w:rsid w:val="76FB0ADE"/>
    <w:rsid w:val="770BADE1"/>
    <w:rsid w:val="787077CD"/>
    <w:rsid w:val="7885A068"/>
    <w:rsid w:val="79744711"/>
    <w:rsid w:val="7A48C178"/>
    <w:rsid w:val="7A4B1999"/>
    <w:rsid w:val="7AB198E8"/>
    <w:rsid w:val="7B70FF90"/>
    <w:rsid w:val="7B73FAFD"/>
    <w:rsid w:val="7BB2C2EB"/>
    <w:rsid w:val="7BBD412A"/>
    <w:rsid w:val="7BF2E9E1"/>
    <w:rsid w:val="7C37C3D8"/>
    <w:rsid w:val="7C798DE4"/>
    <w:rsid w:val="7CED150B"/>
    <w:rsid w:val="7D3D670A"/>
    <w:rsid w:val="7D6A4C62"/>
    <w:rsid w:val="7DA716CA"/>
    <w:rsid w:val="7E20DB7C"/>
    <w:rsid w:val="7E4BD353"/>
    <w:rsid w:val="7E91DA22"/>
    <w:rsid w:val="7E944E8D"/>
    <w:rsid w:val="7EA91F7E"/>
    <w:rsid w:val="7F10F039"/>
    <w:rsid w:val="7F38D450"/>
    <w:rsid w:val="7FE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A4F15"/>
    <w:pPr>
      <w:widowControl w:val="0"/>
      <w:autoSpaceDE w:val="0"/>
      <w:autoSpaceDN w:val="0"/>
      <w:spacing w:after="0" w:line="240" w:lineRule="auto"/>
      <w:ind w:left="279" w:hanging="178"/>
      <w:jc w:val="both"/>
      <w:outlineLvl w:val="0"/>
    </w:pPr>
    <w:rPr>
      <w:rFonts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503"/>
  </w:style>
  <w:style w:type="paragraph" w:styleId="Rodap">
    <w:name w:val="footer"/>
    <w:basedOn w:val="Normal"/>
    <w:link w:val="RodapChar"/>
    <w:unhideWhenUsed/>
    <w:rsid w:val="0078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85503"/>
  </w:style>
  <w:style w:type="character" w:styleId="Hyperlink">
    <w:name w:val="Hyperlink"/>
    <w:uiPriority w:val="99"/>
    <w:unhideWhenUsed/>
    <w:rsid w:val="00715FF6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15FF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422A4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853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C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53C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C1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C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627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uiPriority w:val="9"/>
    <w:rsid w:val="002A4F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A4F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2A4F15"/>
    <w:rPr>
      <w:rFonts w:ascii="Calibri" w:eastAsia="Calibri" w:hAnsi="Calibri" w:cs="Calibri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C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CA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5C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A4F15"/>
    <w:pPr>
      <w:widowControl w:val="0"/>
      <w:autoSpaceDE w:val="0"/>
      <w:autoSpaceDN w:val="0"/>
      <w:spacing w:after="0" w:line="240" w:lineRule="auto"/>
      <w:ind w:left="279" w:hanging="178"/>
      <w:jc w:val="both"/>
      <w:outlineLvl w:val="0"/>
    </w:pPr>
    <w:rPr>
      <w:rFonts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503"/>
  </w:style>
  <w:style w:type="paragraph" w:styleId="Rodap">
    <w:name w:val="footer"/>
    <w:basedOn w:val="Normal"/>
    <w:link w:val="RodapChar"/>
    <w:unhideWhenUsed/>
    <w:rsid w:val="00785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85503"/>
  </w:style>
  <w:style w:type="character" w:styleId="Hyperlink">
    <w:name w:val="Hyperlink"/>
    <w:uiPriority w:val="99"/>
    <w:unhideWhenUsed/>
    <w:rsid w:val="00715FF6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15FF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422A4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853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C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53C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C1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C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627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uiPriority w:val="9"/>
    <w:rsid w:val="002A4F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A4F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2A4F15"/>
    <w:rPr>
      <w:rFonts w:ascii="Calibri" w:eastAsia="Calibri" w:hAnsi="Calibri" w:cs="Calibri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C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CA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5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5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09519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61421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9054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88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86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37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08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0" ma:contentTypeDescription="Crie um novo documento." ma:contentTypeScope="" ma:versionID="585cbf963de31d6dd09974042d7b3454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7ea86119c448ccaf67838c027bb6e77a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eaeb34-3354-4ca6-af12-110e75c12d8f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0A81-D000-4AF5-BAAE-299B1C7F3B0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14edb8e-bee8-4128-a451-0cb3de056a79"/>
    <ds:schemaRef ds:uri="http://purl.org/dc/elements/1.1/"/>
    <ds:schemaRef ds:uri="http://purl.org/dc/terms/"/>
    <ds:schemaRef ds:uri="http://schemas.openxmlformats.org/package/2006/metadata/core-properties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78628FDB-6E0C-4472-8ABC-D95C1E29A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39F3C-1876-47C6-85C7-B508DBBC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B7FFC-03C1-4896-AF23-DB21B71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1928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 Sbaraini Lunardi</dc:creator>
  <cp:lastModifiedBy>Marcia Rochele dos Santos Schroeder</cp:lastModifiedBy>
  <cp:revision>3</cp:revision>
  <cp:lastPrinted>2023-01-04T13:38:00Z</cp:lastPrinted>
  <dcterms:created xsi:type="dcterms:W3CDTF">2024-04-23T21:30:00Z</dcterms:created>
  <dcterms:modified xsi:type="dcterms:W3CDTF">2024-04-23T21:34:00Z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